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A097" w14:textId="6B8D32B8" w:rsidR="00617C1C" w:rsidRPr="00193790" w:rsidRDefault="00921020" w:rsidP="00617C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March 2</w:t>
      </w:r>
      <w:r w:rsidR="006F568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14D7C">
        <w:rPr>
          <w:rFonts w:ascii="Times New Roman" w:hAnsi="Times New Roman" w:cs="Times New Roman"/>
          <w:color w:val="000000" w:themeColor="text1"/>
          <w:sz w:val="24"/>
          <w:szCs w:val="24"/>
        </w:rPr>
        <w:t>, 2022</w:t>
      </w:r>
    </w:p>
    <w:p w14:paraId="7CA0C3D4" w14:textId="5144B229" w:rsidR="00617C1C" w:rsidRPr="003501E4" w:rsidRDefault="005A37A5" w:rsidP="00617C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1E4">
        <w:rPr>
          <w:rFonts w:ascii="Times New Roman" w:hAnsi="Times New Roman" w:cs="Times New Roman"/>
          <w:color w:val="000000" w:themeColor="text1"/>
          <w:sz w:val="24"/>
          <w:szCs w:val="24"/>
        </w:rPr>
        <w:t>Re. Virtual Assessments</w:t>
      </w:r>
    </w:p>
    <w:p w14:paraId="3E858956" w14:textId="77777777" w:rsidR="00617C1C" w:rsidRPr="003501E4" w:rsidRDefault="00617C1C" w:rsidP="004403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1E4">
        <w:rPr>
          <w:rFonts w:ascii="Times New Roman" w:hAnsi="Times New Roman" w:cs="Times New Roman"/>
          <w:color w:val="000000" w:themeColor="text1"/>
          <w:sz w:val="24"/>
          <w:szCs w:val="24"/>
        </w:rPr>
        <w:t>Dear BCASP Members,</w:t>
      </w:r>
    </w:p>
    <w:p w14:paraId="101FE5FD" w14:textId="3F212C84" w:rsidR="00856EC7" w:rsidRDefault="00214D7C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  <w:r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As we make ou</w:t>
      </w:r>
      <w:r w:rsidR="72DDDDF0"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r</w:t>
      </w:r>
      <w:r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 way out of this fifth wave of the COVID-19 pandemic, we</w:t>
      </w:r>
      <w:r w:rsidR="00B8210E"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would like to remind you</w:t>
      </w:r>
      <w:r w:rsidR="00B8210E"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856EC7"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about </w:t>
      </w:r>
      <w:r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BCASP’s position on </w:t>
      </w:r>
      <w:r w:rsidR="00856EC7"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virtual assessments</w:t>
      </w:r>
      <w:r w:rsidR="00A53CC0"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, </w:t>
      </w:r>
      <w:r w:rsidR="008F5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most recently </w:t>
      </w:r>
      <w:r w:rsidR="00A53CC0"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communicated on</w:t>
      </w:r>
      <w:r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 April 13th, 2021</w:t>
      </w:r>
      <w:r w:rsidR="00856EC7"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.</w:t>
      </w:r>
      <w:r w:rsidR="00A5479D" w:rsidRPr="44481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</w:p>
    <w:p w14:paraId="0F53045D" w14:textId="77777777" w:rsidR="00856EC7" w:rsidRPr="00497708" w:rsidRDefault="00856EC7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CA"/>
        </w:rPr>
      </w:pPr>
    </w:p>
    <w:p w14:paraId="168CB696" w14:textId="1042187A" w:rsidR="00954F89" w:rsidRDefault="00A5479D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</w:pPr>
      <w:r w:rsidRPr="0019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BCASP</w:t>
      </w:r>
      <w:r w:rsidR="00DE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, </w:t>
      </w:r>
      <w:r w:rsidR="00931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a</w:t>
      </w:r>
      <w:r w:rsidR="00C12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s well as</w:t>
      </w:r>
      <w:r w:rsidR="00DE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 other School Psychology regulatory bod</w:t>
      </w:r>
      <w:r w:rsidR="005E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ies</w:t>
      </w:r>
      <w:r w:rsidR="00DE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,</w:t>
      </w:r>
      <w:r w:rsidRPr="0019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 </w:t>
      </w:r>
      <w:r w:rsidR="009F1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continues to</w:t>
      </w:r>
      <w:r w:rsidRPr="0019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 support</w:t>
      </w:r>
      <w:r w:rsidR="003670E7" w:rsidRPr="00284A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BB7E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in-person</w:t>
      </w:r>
      <w:r w:rsidR="007371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, not virtual</w:t>
      </w:r>
      <w:r w:rsidR="007B27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, </w:t>
      </w:r>
      <w:r w:rsidR="00BB7E8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assessments </w:t>
      </w:r>
      <w:r w:rsidR="009F1A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for our members, unless under the super</w:t>
      </w:r>
      <w:r w:rsidR="00EA73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vision of </w:t>
      </w:r>
      <w:r w:rsidR="00EA73C4" w:rsidRPr="00F852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a Registered Psychologist</w:t>
      </w:r>
      <w:r w:rsidR="00F85245" w:rsidRPr="00F85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00D">
        <w:rPr>
          <w:rFonts w:ascii="Times New Roman" w:hAnsi="Times New Roman" w:cs="Times New Roman"/>
          <w:color w:val="000000"/>
          <w:sz w:val="24"/>
          <w:szCs w:val="24"/>
        </w:rPr>
        <w:t>(who co-signs</w:t>
      </w:r>
      <w:r w:rsidR="00C40CD2">
        <w:rPr>
          <w:rFonts w:ascii="Times New Roman" w:hAnsi="Times New Roman" w:cs="Times New Roman"/>
          <w:color w:val="000000"/>
          <w:sz w:val="24"/>
          <w:szCs w:val="24"/>
        </w:rPr>
        <w:t xml:space="preserve"> the report)</w:t>
      </w:r>
      <w:r w:rsidRPr="001937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. </w:t>
      </w:r>
      <w:r w:rsidR="00EA73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The executive does not consider v</w:t>
      </w:r>
      <w:r w:rsidR="003670E7" w:rsidRPr="00284A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irtual or online assessments </w:t>
      </w:r>
      <w:r w:rsidR="00A731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using standardized measures </w:t>
      </w:r>
      <w:r w:rsidR="64277D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to be </w:t>
      </w:r>
      <w:r w:rsidR="003670E7" w:rsidRPr="00284A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within </w:t>
      </w:r>
      <w:r w:rsidR="005138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the</w:t>
      </w:r>
      <w:r w:rsidR="003670E7" w:rsidRPr="00284A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scope</w:t>
      </w:r>
      <w:r w:rsidR="00322435" w:rsidRPr="001937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of practice</w:t>
      </w:r>
      <w:r w:rsidR="00EA73C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, or expertise</w:t>
      </w:r>
      <w:r w:rsidR="003C13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, of our membership</w:t>
      </w:r>
      <w:r w:rsidR="003670E7" w:rsidRPr="00284A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. Without sufficient training, practice, and supervision it </w:t>
      </w:r>
      <w:r w:rsidR="003C13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is</w:t>
      </w:r>
      <w:r w:rsidR="003670E7" w:rsidRPr="00284A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unethical to pursue a virtual modality.</w:t>
      </w:r>
      <w:r w:rsidR="007E7BA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2607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Engaging</w:t>
      </w:r>
      <w:r w:rsidR="007E7BA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in virtual assessments</w:t>
      </w:r>
      <w:r w:rsidR="002607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is grounds for </w:t>
      </w:r>
      <w:r w:rsidR="00A3695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initiating </w:t>
      </w:r>
      <w:r w:rsidR="002607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a formal complaint</w:t>
      </w:r>
      <w:r w:rsidR="007E7BA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.</w:t>
      </w:r>
      <w:r w:rsidR="003670E7" w:rsidRPr="00284A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</w:p>
    <w:p w14:paraId="68B26838" w14:textId="1F551B2A" w:rsidR="00214D7C" w:rsidRPr="00497708" w:rsidRDefault="00214D7C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CA"/>
        </w:rPr>
      </w:pPr>
    </w:p>
    <w:p w14:paraId="1EFFE68A" w14:textId="305CFE5F" w:rsidR="00214D7C" w:rsidRDefault="00214D7C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We continue to encourage you to employ various layers of protection when conducting assessments. </w:t>
      </w:r>
      <w:r w:rsidR="00A53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are nearly two years into this pandemic, and </w:t>
      </w:r>
      <w:r w:rsidR="00A53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much more is known about the virus.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e know the importance of </w:t>
      </w:r>
      <w:r w:rsidR="004403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high-quality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masks, ventilation, and limiting the duration of close-proximity work in small spaces. We </w:t>
      </w:r>
      <w:r w:rsidR="00A53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also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encourage you to become fully </w:t>
      </w:r>
      <w:r w:rsidR="004403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vaccinated if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you have not already. Remote</w:t>
      </w:r>
      <w:r w:rsidR="00A53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consultation, </w:t>
      </w:r>
      <w:r w:rsidR="0044031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collaboration,</w:t>
      </w:r>
      <w:r w:rsidR="00A731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data collection, including virtual interviewing</w:t>
      </w:r>
      <w:r w:rsidR="00A53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and remote administration of rating scales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5E36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can 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A731E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an option, so long as your practice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A53C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is sensitive to your clients’ context(s),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aligns with our standards for obtaining informed consent and demonstrating responsible caring.</w:t>
      </w:r>
    </w:p>
    <w:p w14:paraId="1288835C" w14:textId="77777777" w:rsidR="00954F89" w:rsidRPr="00497708" w:rsidRDefault="00954F89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en-CA"/>
        </w:rPr>
      </w:pPr>
    </w:p>
    <w:p w14:paraId="282FE179" w14:textId="37EE8EF8" w:rsidR="00513804" w:rsidRDefault="00A53CC0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Virtual assessment continues</w:t>
      </w:r>
      <w:r w:rsidR="0010104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to be an emerging practice, with scant support in the research literat</w:t>
      </w:r>
      <w:r w:rsidR="00FA22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ure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e.g.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FA228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Farmer et al., 2020; Krach et al., 2020; Stifel et al., 2020)</w:t>
      </w:r>
      <w:r w:rsidR="003670E7" w:rsidRPr="00284A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. </w:t>
      </w:r>
      <w:r w:rsidR="003670E7" w:rsidRPr="0028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The variables and considerations for telepsychology assessments are extensive, sensitive in nature and many outcomes may be yet unknown. The BC College of Psychologists outlines twenty-seven variables to consider. They also note that in-person psychological assessment remains the standard whenever possible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, which the BCASP E</w:t>
      </w:r>
      <w:r w:rsidR="00513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xecutive is in full support of</w:t>
      </w:r>
      <w:r w:rsidR="003670E7" w:rsidRPr="0028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.</w:t>
      </w:r>
      <w:r w:rsidR="00513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 xml:space="preserve"> Please review the following links for more information.</w:t>
      </w:r>
    </w:p>
    <w:p w14:paraId="02EAA3CE" w14:textId="65E5490A" w:rsidR="003670E7" w:rsidRPr="00497708" w:rsidRDefault="003670E7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CA"/>
        </w:rPr>
      </w:pPr>
      <w:r w:rsidRPr="0028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  <w:t> </w:t>
      </w:r>
    </w:p>
    <w:p w14:paraId="0AE8C73B" w14:textId="1F3EA9F5" w:rsidR="002B0A0B" w:rsidRPr="00E837E2" w:rsidRDefault="00EB7280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CA"/>
        </w:rPr>
      </w:pPr>
      <w:hyperlink r:id="rId8" w:history="1">
        <w:r w:rsidR="003670E7" w:rsidRPr="00E837E2">
          <w:rPr>
            <w:rFonts w:ascii="Times New Roman" w:eastAsia="Times New Roman" w:hAnsi="Times New Roman" w:cs="Times New Roman"/>
            <w:color w:val="000000" w:themeColor="text1"/>
            <w:u w:val="single"/>
            <w:lang w:val="en-CA"/>
          </w:rPr>
          <w:t>https://collegeofpsychologists.bc.ca/covid-19-updates/</w:t>
        </w:r>
      </w:hyperlink>
      <w:r w:rsidR="003670E7" w:rsidRPr="00E837E2">
        <w:rPr>
          <w:rFonts w:ascii="Times New Roman" w:eastAsia="Times New Roman" w:hAnsi="Times New Roman" w:cs="Times New Roman"/>
          <w:color w:val="000000" w:themeColor="text1"/>
          <w:lang w:val="en-CA"/>
        </w:rPr>
        <w:br/>
      </w:r>
      <w:hyperlink r:id="rId9" w:history="1">
        <w:r w:rsidR="003670E7" w:rsidRPr="00E837E2">
          <w:rPr>
            <w:rFonts w:ascii="Times New Roman" w:eastAsia="Times New Roman" w:hAnsi="Times New Roman" w:cs="Times New Roman"/>
            <w:color w:val="000000" w:themeColor="text1"/>
            <w:u w:val="single"/>
            <w:lang w:val="en-CA"/>
          </w:rPr>
          <w:t>http://collegeofpsychologists.bc.ca/docs/psc/PS15%20-%20Telepsychology%20Assessment.pdf</w:t>
        </w:r>
      </w:hyperlink>
      <w:r w:rsidR="003670E7" w:rsidRPr="00E837E2">
        <w:rPr>
          <w:rFonts w:ascii="Times New Roman" w:eastAsia="Times New Roman" w:hAnsi="Times New Roman" w:cs="Times New Roman"/>
          <w:color w:val="000000" w:themeColor="text1"/>
          <w:lang w:val="en-CA"/>
        </w:rPr>
        <w:br/>
      </w:r>
      <w:hyperlink r:id="rId10" w:history="1">
        <w:r w:rsidR="003670E7" w:rsidRPr="00E837E2">
          <w:rPr>
            <w:rFonts w:ascii="Times New Roman" w:eastAsia="Times New Roman" w:hAnsi="Times New Roman" w:cs="Times New Roman"/>
            <w:color w:val="000000" w:themeColor="text1"/>
            <w:u w:val="single"/>
            <w:lang w:val="en-CA"/>
          </w:rPr>
          <w:t>https://cpa.ca/corona-virus/</w:t>
        </w:r>
      </w:hyperlink>
      <w:r w:rsidR="003670E7" w:rsidRPr="00E837E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CA"/>
        </w:rPr>
        <w:t xml:space="preserve">  </w:t>
      </w:r>
    </w:p>
    <w:p w14:paraId="420AE6EF" w14:textId="443D9869" w:rsidR="00286FC4" w:rsidRPr="00E837E2" w:rsidRDefault="00EB7280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CA"/>
        </w:rPr>
      </w:pPr>
      <w:hyperlink r:id="rId11" w:history="1">
        <w:r w:rsidR="00F57F1F" w:rsidRPr="00E837E2">
          <w:rPr>
            <w:rStyle w:val="Hyperlink"/>
            <w:rFonts w:ascii="Times New Roman" w:hAnsi="Times New Roman" w:cs="Times New Roman"/>
            <w:color w:val="auto"/>
          </w:rPr>
          <w:t>http://www.bccdc.ca/health-info/diseases-conditions/covid-19/covid-19-vaccine/getting-a-vaccine</w:t>
        </w:r>
      </w:hyperlink>
    </w:p>
    <w:p w14:paraId="335BBB3A" w14:textId="612A7077" w:rsidR="00286FC4" w:rsidRPr="00E837E2" w:rsidRDefault="00286FC4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CA"/>
        </w:rPr>
      </w:pPr>
    </w:p>
    <w:p w14:paraId="3B8E10D0" w14:textId="3C6A9DC0" w:rsidR="00286FC4" w:rsidRDefault="00286FC4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Thank you</w:t>
      </w:r>
      <w:r w:rsidR="004977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,</w:t>
      </w:r>
    </w:p>
    <w:p w14:paraId="15BA1309" w14:textId="77777777" w:rsidR="00286FC4" w:rsidRDefault="00286FC4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</w:pPr>
    </w:p>
    <w:p w14:paraId="3429819D" w14:textId="2DA1EC9E" w:rsidR="00286FC4" w:rsidRPr="0026029C" w:rsidRDefault="00286FC4" w:rsidP="004403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The BCASP Executive Committee</w:t>
      </w:r>
    </w:p>
    <w:sectPr w:rsidR="00286FC4" w:rsidRPr="0026029C" w:rsidSect="00A53CC0">
      <w:headerReference w:type="default" r:id="rId12"/>
      <w:footerReference w:type="default" r:id="rId13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DFCB" w14:textId="77777777" w:rsidR="00EB7280" w:rsidRDefault="00EB7280" w:rsidP="00FA228A">
      <w:pPr>
        <w:spacing w:after="0" w:line="240" w:lineRule="auto"/>
      </w:pPr>
      <w:r>
        <w:separator/>
      </w:r>
    </w:p>
  </w:endnote>
  <w:endnote w:type="continuationSeparator" w:id="0">
    <w:p w14:paraId="294B3C21" w14:textId="77777777" w:rsidR="00EB7280" w:rsidRDefault="00EB7280" w:rsidP="00FA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3468" w14:textId="697D66AD" w:rsidR="00FA228A" w:rsidRPr="00497708" w:rsidRDefault="00FA228A" w:rsidP="00FA228A">
    <w:pPr>
      <w:pStyle w:val="Footer"/>
      <w:spacing w:after="60"/>
      <w:ind w:left="426" w:hanging="426"/>
      <w:rPr>
        <w:rFonts w:asciiTheme="majorHAnsi" w:hAnsiTheme="majorHAnsi" w:cstheme="majorHAnsi"/>
        <w:sz w:val="16"/>
        <w:szCs w:val="16"/>
      </w:rPr>
    </w:pPr>
    <w:r w:rsidRPr="00497708">
      <w:rPr>
        <w:rFonts w:asciiTheme="majorHAnsi" w:hAnsiTheme="majorHAnsi" w:cstheme="majorHAnsi"/>
        <w:sz w:val="16"/>
        <w:szCs w:val="16"/>
      </w:rPr>
      <w:t xml:space="preserve">Farmer., R. L., et al. (2020). Conducting psychoeducational assessments during the COVID-19 crisis: the danger of good intentions. </w:t>
    </w:r>
    <w:r w:rsidRPr="00497708">
      <w:rPr>
        <w:rFonts w:asciiTheme="majorHAnsi" w:hAnsiTheme="majorHAnsi" w:cstheme="majorHAnsi"/>
        <w:i/>
        <w:sz w:val="16"/>
        <w:szCs w:val="16"/>
      </w:rPr>
      <w:t>Contemporary School Psychology</w:t>
    </w:r>
    <w:r w:rsidRPr="00497708">
      <w:rPr>
        <w:rFonts w:asciiTheme="majorHAnsi" w:hAnsiTheme="majorHAnsi" w:cstheme="majorHAnsi"/>
        <w:sz w:val="16"/>
        <w:szCs w:val="16"/>
      </w:rPr>
      <w:t xml:space="preserve">, </w:t>
    </w:r>
    <w:hyperlink r:id="rId1" w:history="1">
      <w:r w:rsidRPr="00497708">
        <w:rPr>
          <w:rStyle w:val="Hyperlink"/>
          <w:rFonts w:asciiTheme="majorHAnsi" w:hAnsiTheme="majorHAnsi" w:cstheme="majorHAnsi"/>
          <w:sz w:val="16"/>
          <w:szCs w:val="16"/>
        </w:rPr>
        <w:t>https://doi.org/10.1177%2F0734282920969993</w:t>
      </w:r>
    </w:hyperlink>
    <w:r w:rsidRPr="00497708">
      <w:rPr>
        <w:rFonts w:asciiTheme="majorHAnsi" w:hAnsiTheme="majorHAnsi" w:cstheme="majorHAnsi"/>
        <w:sz w:val="16"/>
        <w:szCs w:val="16"/>
      </w:rPr>
      <w:t xml:space="preserve">. </w:t>
    </w:r>
  </w:p>
  <w:p w14:paraId="0AD8EDDE" w14:textId="75BACB2F" w:rsidR="00FA228A" w:rsidRPr="00497708" w:rsidRDefault="00FA228A" w:rsidP="00FA228A">
    <w:pPr>
      <w:pStyle w:val="Footer"/>
      <w:spacing w:after="60"/>
      <w:ind w:left="426" w:hanging="426"/>
      <w:rPr>
        <w:rFonts w:asciiTheme="majorHAnsi" w:hAnsiTheme="majorHAnsi" w:cstheme="majorHAnsi"/>
        <w:sz w:val="16"/>
        <w:szCs w:val="16"/>
      </w:rPr>
    </w:pPr>
    <w:r w:rsidRPr="00497708">
      <w:rPr>
        <w:rFonts w:asciiTheme="majorHAnsi" w:hAnsiTheme="majorHAnsi" w:cstheme="majorHAnsi"/>
        <w:sz w:val="16"/>
        <w:szCs w:val="16"/>
      </w:rPr>
      <w:t xml:space="preserve">Krach., S. K., et al. (2020). Meeting COVID-19 deadlines: choosing assessments to determine eligibility. </w:t>
    </w:r>
    <w:r w:rsidRPr="00497708">
      <w:rPr>
        <w:rFonts w:asciiTheme="majorHAnsi" w:hAnsiTheme="majorHAnsi" w:cstheme="majorHAnsi"/>
        <w:i/>
        <w:sz w:val="16"/>
        <w:szCs w:val="16"/>
      </w:rPr>
      <w:t>Journal of Psychoeducational Assessment</w:t>
    </w:r>
    <w:r w:rsidRPr="00497708">
      <w:rPr>
        <w:rFonts w:asciiTheme="majorHAnsi" w:hAnsiTheme="majorHAnsi" w:cstheme="majorHAnsi"/>
        <w:sz w:val="16"/>
        <w:szCs w:val="16"/>
      </w:rPr>
      <w:t xml:space="preserve">, v 39, 50-73. </w:t>
    </w:r>
    <w:hyperlink r:id="rId2" w:history="1">
      <w:r w:rsidRPr="00497708">
        <w:rPr>
          <w:rStyle w:val="Hyperlink"/>
          <w:rFonts w:asciiTheme="majorHAnsi" w:hAnsiTheme="majorHAnsi" w:cstheme="majorHAnsi"/>
          <w:sz w:val="16"/>
          <w:szCs w:val="16"/>
        </w:rPr>
        <w:t>https://doi.org/10.1177%2F0734282920969993</w:t>
      </w:r>
    </w:hyperlink>
    <w:r w:rsidRPr="00497708">
      <w:rPr>
        <w:rFonts w:asciiTheme="majorHAnsi" w:hAnsiTheme="majorHAnsi" w:cstheme="majorHAnsi"/>
        <w:sz w:val="16"/>
        <w:szCs w:val="16"/>
      </w:rPr>
      <w:t>.</w:t>
    </w:r>
  </w:p>
  <w:p w14:paraId="7AC9072E" w14:textId="34ED0173" w:rsidR="00FA228A" w:rsidRPr="00497708" w:rsidRDefault="00FA228A" w:rsidP="00FA228A">
    <w:pPr>
      <w:pStyle w:val="Footer"/>
      <w:ind w:left="426" w:hanging="426"/>
      <w:rPr>
        <w:rFonts w:asciiTheme="majorHAnsi" w:hAnsiTheme="majorHAnsi" w:cstheme="majorHAnsi"/>
        <w:sz w:val="16"/>
        <w:szCs w:val="16"/>
      </w:rPr>
    </w:pPr>
    <w:r w:rsidRPr="00497708">
      <w:rPr>
        <w:rFonts w:asciiTheme="majorHAnsi" w:hAnsiTheme="majorHAnsi" w:cstheme="majorHAnsi"/>
        <w:sz w:val="16"/>
        <w:szCs w:val="16"/>
      </w:rPr>
      <w:t xml:space="preserve">Stifel, S. W. F., et al. (2020). Assessment during the COVID-19 pandemic: ethical, legal, and safety considerations moving forward. </w:t>
    </w:r>
    <w:r w:rsidRPr="00497708">
      <w:rPr>
        <w:rFonts w:asciiTheme="majorHAnsi" w:hAnsiTheme="majorHAnsi" w:cstheme="majorHAnsi"/>
        <w:i/>
        <w:sz w:val="16"/>
        <w:szCs w:val="16"/>
      </w:rPr>
      <w:t>School Psychology Review,</w:t>
    </w:r>
    <w:r w:rsidRPr="00497708">
      <w:rPr>
        <w:rFonts w:asciiTheme="majorHAnsi" w:hAnsiTheme="majorHAnsi" w:cstheme="majorHAnsi"/>
        <w:sz w:val="16"/>
        <w:szCs w:val="16"/>
      </w:rPr>
      <w:t xml:space="preserve"> 49:4, 438-452. </w:t>
    </w:r>
    <w:hyperlink r:id="rId3" w:history="1">
      <w:r w:rsidRPr="00497708">
        <w:rPr>
          <w:rStyle w:val="Hyperlink"/>
          <w:rFonts w:asciiTheme="majorHAnsi" w:hAnsiTheme="majorHAnsi" w:cstheme="majorHAnsi"/>
          <w:sz w:val="16"/>
          <w:szCs w:val="16"/>
          <w:lang w:val="en-CA"/>
        </w:rPr>
        <w:t>https://doi.org/10.1080/2372966X.2020.1844549</w:t>
      </w:r>
    </w:hyperlink>
    <w:r w:rsidRPr="00497708">
      <w:rPr>
        <w:rFonts w:asciiTheme="majorHAnsi" w:hAnsiTheme="majorHAnsi" w:cstheme="majorHAnsi"/>
        <w:sz w:val="16"/>
        <w:szCs w:val="16"/>
        <w:lang w:val="en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9EFE" w14:textId="77777777" w:rsidR="00EB7280" w:rsidRDefault="00EB7280" w:rsidP="00FA228A">
      <w:pPr>
        <w:spacing w:after="0" w:line="240" w:lineRule="auto"/>
      </w:pPr>
      <w:r>
        <w:separator/>
      </w:r>
    </w:p>
  </w:footnote>
  <w:footnote w:type="continuationSeparator" w:id="0">
    <w:p w14:paraId="6136BBF2" w14:textId="77777777" w:rsidR="00EB7280" w:rsidRDefault="00EB7280" w:rsidP="00FA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96A2" w14:textId="36E89AF8" w:rsidR="00A53CC0" w:rsidRPr="00A53CC0" w:rsidRDefault="003501E4" w:rsidP="003501E4">
    <w:pPr>
      <w:rPr>
        <w:b/>
        <w:sz w:val="28"/>
        <w:szCs w:val="28"/>
      </w:rPr>
    </w:pPr>
    <w:r>
      <w:rPr>
        <w:noProof/>
      </w:rPr>
      <w:drawing>
        <wp:inline distT="0" distB="0" distL="0" distR="0" wp14:anchorId="148DFD0E" wp14:editId="75C60CC9">
          <wp:extent cx="1854200" cy="708660"/>
          <wp:effectExtent l="0" t="0" r="0" b="0"/>
          <wp:docPr id="2" name="Picture 2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41D4B"/>
    <w:multiLevelType w:val="multilevel"/>
    <w:tmpl w:val="DE1A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1C"/>
    <w:rsid w:val="0008355B"/>
    <w:rsid w:val="000A40AA"/>
    <w:rsid w:val="000B62FB"/>
    <w:rsid w:val="000F51B3"/>
    <w:rsid w:val="00101047"/>
    <w:rsid w:val="00193790"/>
    <w:rsid w:val="00214D7C"/>
    <w:rsid w:val="0026029C"/>
    <w:rsid w:val="002607AC"/>
    <w:rsid w:val="0026543C"/>
    <w:rsid w:val="00284ADD"/>
    <w:rsid w:val="00286FC4"/>
    <w:rsid w:val="002A780B"/>
    <w:rsid w:val="002A7DF9"/>
    <w:rsid w:val="002B131F"/>
    <w:rsid w:val="002D7FE3"/>
    <w:rsid w:val="00304F2A"/>
    <w:rsid w:val="00322435"/>
    <w:rsid w:val="00341D0F"/>
    <w:rsid w:val="003425B9"/>
    <w:rsid w:val="00342A43"/>
    <w:rsid w:val="003501E4"/>
    <w:rsid w:val="003670E7"/>
    <w:rsid w:val="003A5981"/>
    <w:rsid w:val="003C13F0"/>
    <w:rsid w:val="00407945"/>
    <w:rsid w:val="00440315"/>
    <w:rsid w:val="00482348"/>
    <w:rsid w:val="00497708"/>
    <w:rsid w:val="004C3266"/>
    <w:rsid w:val="00513804"/>
    <w:rsid w:val="005A37A5"/>
    <w:rsid w:val="005A3FC8"/>
    <w:rsid w:val="005E36BD"/>
    <w:rsid w:val="005E3AB1"/>
    <w:rsid w:val="00617C1C"/>
    <w:rsid w:val="00641A05"/>
    <w:rsid w:val="00694014"/>
    <w:rsid w:val="006F5689"/>
    <w:rsid w:val="007061AE"/>
    <w:rsid w:val="00737161"/>
    <w:rsid w:val="0074401A"/>
    <w:rsid w:val="007B27B1"/>
    <w:rsid w:val="007C4CDF"/>
    <w:rsid w:val="007D3656"/>
    <w:rsid w:val="007E7BAF"/>
    <w:rsid w:val="00805D47"/>
    <w:rsid w:val="00834AA0"/>
    <w:rsid w:val="00856EC7"/>
    <w:rsid w:val="008F55F7"/>
    <w:rsid w:val="00901736"/>
    <w:rsid w:val="00921020"/>
    <w:rsid w:val="0093156E"/>
    <w:rsid w:val="00952A5A"/>
    <w:rsid w:val="00954F89"/>
    <w:rsid w:val="00975B2F"/>
    <w:rsid w:val="009A227E"/>
    <w:rsid w:val="009D0A8E"/>
    <w:rsid w:val="009D6097"/>
    <w:rsid w:val="009F1AA8"/>
    <w:rsid w:val="00A36957"/>
    <w:rsid w:val="00A47D21"/>
    <w:rsid w:val="00A53CC0"/>
    <w:rsid w:val="00A5479D"/>
    <w:rsid w:val="00A731EC"/>
    <w:rsid w:val="00B571AA"/>
    <w:rsid w:val="00B8210E"/>
    <w:rsid w:val="00BB7E81"/>
    <w:rsid w:val="00BF0C5B"/>
    <w:rsid w:val="00C122A0"/>
    <w:rsid w:val="00C40CD2"/>
    <w:rsid w:val="00C6139D"/>
    <w:rsid w:val="00D101D1"/>
    <w:rsid w:val="00D53762"/>
    <w:rsid w:val="00D7771F"/>
    <w:rsid w:val="00DA600D"/>
    <w:rsid w:val="00DD06E0"/>
    <w:rsid w:val="00DE4E03"/>
    <w:rsid w:val="00E15679"/>
    <w:rsid w:val="00E837E2"/>
    <w:rsid w:val="00EA73C4"/>
    <w:rsid w:val="00EB7280"/>
    <w:rsid w:val="00F52437"/>
    <w:rsid w:val="00F57F1F"/>
    <w:rsid w:val="00F85245"/>
    <w:rsid w:val="00FA228A"/>
    <w:rsid w:val="073FB05F"/>
    <w:rsid w:val="1B47C492"/>
    <w:rsid w:val="44481923"/>
    <w:rsid w:val="64277D84"/>
    <w:rsid w:val="72DDD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E1D52"/>
  <w14:defaultImageDpi w14:val="32767"/>
  <w15:chartTrackingRefBased/>
  <w15:docId w15:val="{96BD7A67-9FF7-2947-86A6-BD90BF3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1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4ADD"/>
  </w:style>
  <w:style w:type="character" w:styleId="Hyperlink">
    <w:name w:val="Hyperlink"/>
    <w:basedOn w:val="DefaultParagraphFont"/>
    <w:uiPriority w:val="99"/>
    <w:unhideWhenUsed/>
    <w:rsid w:val="00284A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A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8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53C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4E03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0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asp.us9.list-manage.com/track/click?u=ecf2c66f46b1f1ff414a4f27f&amp;id=24ac857cc6&amp;e=a47d8a2b0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cdc.ca/health-info/diseases-conditions/covid-19/covid-19-vaccine/getting-a-vacc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casp.us9.list-manage.com/track/click?u=ecf2c66f46b1f1ff414a4f27f&amp;id=206e46705b&amp;e=a47d8a2b0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casp.us9.list-manage.com/track/click?u=ecf2c66f46b1f1ff414a4f27f&amp;id=57f6d485b7&amp;e=a47d8a2b0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1080/2372966X.2020.1844549" TargetMode="External"/><Relationship Id="rId2" Type="http://schemas.openxmlformats.org/officeDocument/2006/relationships/hyperlink" Target="https://doi.org/10.1177%2F0734282920969993" TargetMode="External"/><Relationship Id="rId1" Type="http://schemas.openxmlformats.org/officeDocument/2006/relationships/hyperlink" Target="https://doi.org/10.1177%2F07342829209699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Far20</b:Tag>
    <b:SourceType>JournalArticle</b:SourceType>
    <b:Guid>{37FA0701-32E7-4425-A8DD-14719A0C14B5}</b:Guid>
    <b:Author>
      <b:Author>
        <b:NameList>
          <b:Person>
            <b:Last>Farmer</b:Last>
            <b:First>R.</b:First>
            <b:Middle>L. et al.</b:Middle>
          </b:Person>
        </b:NameList>
      </b:Author>
    </b:Author>
    <b:Title>Conducting psychoeducational assessments during the COVID-19 Crisis: The danger of good intentions</b:Title>
    <b:JournalName>Contemporary School Psychology</b:JournalName>
    <b:Year>2020</b:Year>
    <b:DayAccessed>January 19, 2022</b:DayAccessed>
    <b:URL>https://doi.org/10.1007/s40688-020-00293-x</b:URL>
    <b:RefOrder>1</b:RefOrder>
  </b:Source>
  <b:Source>
    <b:Tag>Kra20</b:Tag>
    <b:SourceType>JournalArticle</b:SourceType>
    <b:Guid>{774F010F-2B61-404C-8215-22116018B2E2}</b:Guid>
    <b:Author>
      <b:Author>
        <b:NameList>
          <b:Person>
            <b:Last>Krach</b:Last>
            <b:First>S.</b:First>
            <b:Middle>K., et al.</b:Middle>
          </b:Person>
        </b:NameList>
      </b:Author>
    </b:Author>
    <b:Title>Meeting the COVID-19 dealines: Choosing assessments to determine eligibility</b:Title>
    <b:JournalName>Journal of Psychoeducational Assessment</b:JournalName>
    <b:Year>2020</b:Year>
    <b:Pages>50-73</b:Pages>
    <b:DayAccessed>January 18, 2022</b:DayAccessed>
    <b:URL>https://journals.sagepub.com/doi/10.1177/0734282920969993?icid=int.sj-full-text.similar-articles.1</b:URL>
    <b:RefOrder>2</b:RefOrder>
  </b:Source>
</b:Sources>
</file>

<file path=customXml/itemProps1.xml><?xml version="1.0" encoding="utf-8"?>
<ds:datastoreItem xmlns:ds="http://schemas.openxmlformats.org/officeDocument/2006/customXml" ds:itemID="{ADF79023-C38F-4AC5-9362-98033C6A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Baker</dc:creator>
  <cp:keywords/>
  <dc:description/>
  <cp:lastModifiedBy>Greg Pearce</cp:lastModifiedBy>
  <cp:revision>3</cp:revision>
  <dcterms:created xsi:type="dcterms:W3CDTF">2022-03-20T19:58:00Z</dcterms:created>
  <dcterms:modified xsi:type="dcterms:W3CDTF">2022-03-20T19:58:00Z</dcterms:modified>
</cp:coreProperties>
</file>